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pacing w:val="20"/>
          <w:sz w:val="52"/>
          <w:szCs w:val="52"/>
          <w:highlight w:val="none"/>
        </w:rPr>
      </w:pPr>
      <w:bookmarkStart w:id="0" w:name="_Toc3560_WPSOffice_Level1"/>
    </w:p>
    <w:p>
      <w:pPr>
        <w:outlineLvl w:val="9"/>
        <w:rPr>
          <w:rFonts w:hint="eastAsia"/>
        </w:rPr>
      </w:pPr>
    </w:p>
    <w:p>
      <w:pPr>
        <w:jc w:val="center"/>
        <w:rPr>
          <w:rFonts w:hint="eastAsia" w:ascii="宋体" w:hAnsi="宋体" w:eastAsia="宋体" w:cs="宋体"/>
          <w:b/>
          <w:color w:val="000000"/>
          <w:spacing w:val="20"/>
          <w:sz w:val="52"/>
          <w:szCs w:val="52"/>
          <w:highlight w:val="none"/>
        </w:rPr>
      </w:pPr>
      <w:r>
        <w:rPr>
          <w:rFonts w:hint="eastAsia" w:ascii="宋体" w:hAnsi="宋体" w:eastAsia="宋体" w:cs="宋体"/>
          <w:b/>
          <w:color w:val="000000"/>
          <w:spacing w:val="20"/>
          <w:sz w:val="52"/>
          <w:szCs w:val="52"/>
          <w:highlight w:val="none"/>
        </w:rPr>
        <w:t>第</w:t>
      </w:r>
      <w:r>
        <w:rPr>
          <w:rFonts w:hint="eastAsia" w:ascii="宋体" w:hAnsi="宋体" w:eastAsia="宋体" w:cs="宋体"/>
          <w:b/>
          <w:color w:val="000000"/>
          <w:spacing w:val="20"/>
          <w:sz w:val="52"/>
          <w:szCs w:val="52"/>
          <w:highlight w:val="none"/>
          <w:lang w:val="en-US" w:eastAsia="zh-CN"/>
        </w:rPr>
        <w:t>三</w:t>
      </w:r>
      <w:r>
        <w:rPr>
          <w:rFonts w:hint="eastAsia" w:ascii="宋体" w:hAnsi="宋体" w:eastAsia="宋体" w:cs="宋体"/>
          <w:b/>
          <w:color w:val="000000"/>
          <w:spacing w:val="20"/>
          <w:sz w:val="52"/>
          <w:szCs w:val="52"/>
          <w:highlight w:val="none"/>
        </w:rPr>
        <w:t>部分</w:t>
      </w:r>
    </w:p>
    <w:tbl>
      <w:tblPr>
        <w:tblStyle w:val="4"/>
        <w:tblpPr w:leftFromText="180" w:rightFromText="180" w:vertAnchor="text" w:horzAnchor="page" w:tblpX="3562" w:tblpY="892"/>
        <w:tblOverlap w:val="never"/>
        <w:tblW w:w="0" w:type="auto"/>
        <w:tblInd w:w="0" w:type="dxa"/>
        <w:tblLayout w:type="fixed"/>
        <w:tblCellMar>
          <w:top w:w="0" w:type="dxa"/>
          <w:left w:w="108" w:type="dxa"/>
          <w:bottom w:w="0" w:type="dxa"/>
          <w:right w:w="108" w:type="dxa"/>
        </w:tblCellMar>
      </w:tblPr>
      <w:tblGrid>
        <w:gridCol w:w="5010"/>
      </w:tblGrid>
      <w:tr>
        <w:tblPrEx>
          <w:tblCellMar>
            <w:top w:w="0" w:type="dxa"/>
            <w:left w:w="108" w:type="dxa"/>
            <w:bottom w:w="0" w:type="dxa"/>
            <w:right w:w="108" w:type="dxa"/>
          </w:tblCellMar>
        </w:tblPrEx>
        <w:trPr>
          <w:trHeight w:val="1339" w:hRule="atLeast"/>
        </w:trPr>
        <w:tc>
          <w:tcPr>
            <w:tcW w:w="5010" w:type="dxa"/>
            <w:noWrap w:val="0"/>
            <w:vAlign w:val="top"/>
          </w:tcPr>
          <w:p>
            <w:pPr>
              <w:jc w:val="center"/>
              <w:rPr>
                <w:rFonts w:hint="eastAsia" w:ascii="宋体" w:hAnsi="宋体" w:eastAsia="宋体" w:cs="宋体"/>
                <w:b/>
                <w:color w:val="000000"/>
                <w:spacing w:val="6"/>
                <w:w w:val="94"/>
                <w:kern w:val="0"/>
                <w:sz w:val="48"/>
                <w:szCs w:val="48"/>
                <w:highlight w:val="none"/>
              </w:rPr>
            </w:pPr>
            <w:r>
              <w:rPr>
                <w:rFonts w:hint="eastAsia" w:ascii="宋体" w:hAnsi="宋体" w:eastAsia="宋体" w:cs="宋体"/>
                <w:b/>
                <w:color w:val="000000"/>
                <w:spacing w:val="6"/>
                <w:w w:val="94"/>
                <w:kern w:val="0"/>
                <w:sz w:val="48"/>
                <w:szCs w:val="48"/>
                <w:highlight w:val="none"/>
              </w:rPr>
              <w:t>其他需要说明的事项</w:t>
            </w:r>
          </w:p>
        </w:tc>
      </w:tr>
      <w:tr>
        <w:tblPrEx>
          <w:tblCellMar>
            <w:top w:w="0" w:type="dxa"/>
            <w:left w:w="108" w:type="dxa"/>
            <w:bottom w:w="0" w:type="dxa"/>
            <w:right w:w="108" w:type="dxa"/>
          </w:tblCellMar>
        </w:tblPrEx>
        <w:tc>
          <w:tcPr>
            <w:tcW w:w="5010" w:type="dxa"/>
            <w:noWrap w:val="0"/>
            <w:vAlign w:val="top"/>
          </w:tcPr>
          <w:p>
            <w:pPr>
              <w:ind w:firstLine="1526"/>
              <w:jc w:val="center"/>
              <w:rPr>
                <w:rFonts w:hint="eastAsia" w:ascii="宋体" w:hAnsi="宋体" w:eastAsia="宋体" w:cs="宋体"/>
                <w:b/>
                <w:color w:val="000000"/>
                <w:spacing w:val="20"/>
                <w:sz w:val="72"/>
                <w:szCs w:val="72"/>
                <w:highlight w:val="none"/>
              </w:rPr>
            </w:pPr>
          </w:p>
        </w:tc>
      </w:tr>
    </w:tbl>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sectPr>
          <w:pgSz w:w="11906" w:h="16838"/>
          <w:pgMar w:top="1440" w:right="1800" w:bottom="1440" w:left="1800" w:header="851" w:footer="992" w:gutter="0"/>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宋体"/>
          <w:b/>
          <w:bCs w:val="0"/>
          <w:color w:val="auto"/>
          <w:sz w:val="36"/>
          <w:szCs w:val="36"/>
          <w:lang w:eastAsia="zh-CN"/>
        </w:rPr>
      </w:pPr>
      <w:r>
        <w:rPr>
          <w:rFonts w:hint="eastAsia" w:eastAsia="宋体"/>
          <w:b/>
          <w:bCs w:val="0"/>
          <w:color w:val="auto"/>
          <w:sz w:val="36"/>
          <w:szCs w:val="36"/>
          <w:lang w:eastAsia="zh-CN"/>
        </w:rPr>
        <w:t>其他需要说明的事项</w:t>
      </w:r>
      <w:bookmarkEnd w:id="0"/>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根据《建设项目竣工环境保护验收暂行办法》，</w:t>
      </w:r>
      <w:r>
        <w:rPr>
          <w:rFonts w:hint="eastAsia" w:ascii="宋体" w:hAnsi="宋体" w:eastAsia="宋体" w:cs="宋体"/>
          <w:b w:val="0"/>
          <w:bCs/>
          <w:color w:val="auto"/>
          <w:sz w:val="24"/>
          <w:szCs w:val="24"/>
          <w:lang w:eastAsia="zh-CN"/>
        </w:rPr>
        <w:t>“其他需要说明的事项”</w:t>
      </w:r>
      <w:r>
        <w:rPr>
          <w:rFonts w:hint="default" w:ascii="Times New Roman" w:hAnsi="Times New Roman" w:eastAsia="宋体" w:cs="Times New Roman"/>
          <w:b w:val="0"/>
          <w:bCs/>
          <w:color w:val="auto"/>
          <w:sz w:val="24"/>
          <w:szCs w:val="24"/>
          <w:lang w:eastAsia="zh-CN"/>
        </w:rPr>
        <w:t>中应如实记载的内容包括环境保护设施设计、施工和验收过程简况，环境影响报告表及其审批部门审批决定中提出的，除环境保护设施外的其他环境保护措施的落实情况，以及整改工作情况等，现将建设单位需要说明的具体内容和要求列举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1" w:name="_Toc19129_WPSOffice_Level1"/>
      <w:r>
        <w:rPr>
          <w:rFonts w:hint="default" w:ascii="Times New Roman" w:hAnsi="Times New Roman" w:eastAsia="宋体" w:cs="Times New Roman"/>
          <w:b/>
          <w:bCs w:val="0"/>
          <w:color w:val="auto"/>
          <w:sz w:val="24"/>
          <w:szCs w:val="24"/>
          <w:lang w:eastAsia="zh-CN"/>
        </w:rPr>
        <w:t>1环境保护设施设计、施工和验收过程简况</w:t>
      </w:r>
      <w:bookmarkEnd w:id="1"/>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2" w:name="_Toc7820_WPSOffice_Level1"/>
      <w:r>
        <w:rPr>
          <w:rFonts w:hint="default" w:ascii="Times New Roman" w:hAnsi="Times New Roman" w:eastAsia="宋体" w:cs="Times New Roman"/>
          <w:b w:val="0"/>
          <w:bCs/>
          <w:color w:val="auto"/>
          <w:sz w:val="24"/>
          <w:szCs w:val="24"/>
          <w:lang w:eastAsia="zh-CN"/>
        </w:rPr>
        <w:t>1.1设计简况</w:t>
      </w:r>
      <w:bookmarkEnd w:id="2"/>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本项目已将建设项目的环境保护设施纳入了初步设计，环境保护设施的设计符合环境保护设计规范的要求，编制了环境保护篇章，落实了防治污染和生态破环的措施以及环境保护设施投资概算。</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3" w:name="_Toc31339_WPSOffice_Level1"/>
      <w:r>
        <w:rPr>
          <w:rFonts w:hint="default" w:ascii="Times New Roman" w:hAnsi="Times New Roman" w:eastAsia="宋体" w:cs="Times New Roman"/>
          <w:b w:val="0"/>
          <w:bCs/>
          <w:color w:val="auto"/>
          <w:sz w:val="24"/>
          <w:szCs w:val="24"/>
          <w:lang w:eastAsia="zh-CN"/>
        </w:rPr>
        <w:t>1.2施工简况</w:t>
      </w:r>
      <w:bookmarkEnd w:id="3"/>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本项目已将环境保护设施纳入了施工合同，环境保护设施的建设进度和资金得到了保证，项目建设过程中组织实施了环境影响报告表及其审批部门审批决定中提出的环境保护对策措施。</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4" w:name="_Toc15926_WPSOffice_Level1"/>
      <w:r>
        <w:rPr>
          <w:rFonts w:hint="default" w:ascii="Times New Roman" w:hAnsi="Times New Roman" w:eastAsia="宋体" w:cs="Times New Roman"/>
          <w:b w:val="0"/>
          <w:bCs/>
          <w:color w:val="auto"/>
          <w:sz w:val="24"/>
          <w:szCs w:val="24"/>
          <w:lang w:eastAsia="zh-CN"/>
        </w:rPr>
        <w:t>1.3验收过程简况</w:t>
      </w:r>
      <w:bookmarkEnd w:id="4"/>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color w:val="auto"/>
          <w:kern w:val="0"/>
          <w:sz w:val="24"/>
          <w:szCs w:val="24"/>
          <w:highlight w:val="none"/>
          <w:lang w:val="en-US" w:eastAsia="zh-CN"/>
        </w:rPr>
        <w:t>年产40万方商砼和年产20万方湿拌砂浆扩建项目主体工程运行正常，安徽坤隆新型建材有限公司积极落实有关环保措施，环保设施运行正常，根据国务院令第682号《建设项目环境保护管理条例》、环境保护部【2017】4号《建设项目竣工环境保护验收暂行办法》和《建设项目竣工环境保护验收技术指南污染影响类》要求，安徽坤隆新型建材有限公司于2023年11月对建成的年产40万方商砼和年产20万方湿拌砂浆扩建项目的主体工程及其配套设施进行验收，安徽梓东环境科技有限公司组织技术人员对该项目进行了现场勘查，在对该项目技术资料查阅和现场勘查的基础上编制了《年产40万方商砼和年产20万方湿拌砂浆扩建项目竣工环境保护验收监测方案》，作为现场监测的依据。安徽尚德谱检测技术有限责任公司于2023年12月14、15日组织监测人员对该项目排放的废气、噪声进行了验收监测，对项目建设情况及环保制度落实情况进行了检查，在对监测、检查结果进行认真分析和整理的基础上，编制该项目竣工环境保护验收监测报告表。</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5" w:name="_Toc5203_WPSOffice_Level1"/>
      <w:r>
        <w:rPr>
          <w:rFonts w:hint="default" w:ascii="Times New Roman" w:hAnsi="Times New Roman" w:eastAsia="宋体" w:cs="Times New Roman"/>
          <w:b w:val="0"/>
          <w:bCs/>
          <w:color w:val="auto"/>
          <w:sz w:val="24"/>
          <w:szCs w:val="24"/>
          <w:lang w:eastAsia="zh-CN"/>
        </w:rPr>
        <w:t>1.4公众反馈意见及处理情况</w:t>
      </w:r>
      <w:bookmarkEnd w:id="5"/>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本项目在设计、施工和验收期间未收到过公众反馈意见或投诉。</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bCs w:val="0"/>
          <w:color w:val="auto"/>
          <w:sz w:val="24"/>
          <w:szCs w:val="24"/>
          <w:lang w:eastAsia="zh-CN"/>
        </w:rPr>
      </w:pPr>
      <w:bookmarkStart w:id="6" w:name="_Toc30324_WPSOffice_Level1"/>
      <w:r>
        <w:rPr>
          <w:rFonts w:hint="default" w:ascii="Times New Roman" w:hAnsi="Times New Roman" w:eastAsia="宋体" w:cs="Times New Roman"/>
          <w:b/>
          <w:bCs w:val="0"/>
          <w:color w:val="auto"/>
          <w:sz w:val="24"/>
          <w:szCs w:val="24"/>
          <w:lang w:eastAsia="zh-CN"/>
        </w:rPr>
        <w:t>2其他环境保护措施的落实情况</w:t>
      </w:r>
      <w:bookmarkEnd w:id="6"/>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default" w:ascii="Times New Roman" w:hAnsi="Times New Roman" w:eastAsia="宋体" w:cs="Times New Roman"/>
          <w:b w:val="0"/>
          <w:bCs/>
          <w:color w:val="auto"/>
          <w:sz w:val="24"/>
          <w:szCs w:val="24"/>
          <w:lang w:eastAsia="zh-CN"/>
        </w:rPr>
        <w:t>环境影响报告表及其审批部门审批决定中提出的，除环境保护设施外的其他环境保护措施，主要包括制度措施和配套措施等，现将需要说明的措施内容和要求梳理如下：</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color w:val="auto"/>
          <w:sz w:val="24"/>
          <w:szCs w:val="24"/>
          <w:lang w:eastAsia="zh-CN"/>
        </w:rPr>
      </w:pPr>
      <w:bookmarkStart w:id="7" w:name="_Toc2009_WPSOffice_Level1"/>
      <w:r>
        <w:rPr>
          <w:rFonts w:hint="default" w:ascii="Times New Roman" w:hAnsi="Times New Roman" w:eastAsia="宋体" w:cs="Times New Roman"/>
          <w:b w:val="0"/>
          <w:bCs/>
          <w:color w:val="auto"/>
          <w:sz w:val="24"/>
          <w:szCs w:val="24"/>
          <w:lang w:eastAsia="zh-CN"/>
        </w:rPr>
        <w:t>2.1制度措施落实情况</w:t>
      </w:r>
      <w:bookmarkEnd w:id="7"/>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bookmarkStart w:id="8" w:name="_Toc15549_WPSOffice_Level2"/>
      <w:r>
        <w:rPr>
          <w:rFonts w:hint="eastAsia" w:ascii="Times New Roman" w:hAnsi="Times New Roman" w:eastAsia="宋体" w:cs="Times New Roman"/>
          <w:b w:val="0"/>
          <w:bCs/>
          <w:color w:val="auto"/>
          <w:sz w:val="24"/>
          <w:szCs w:val="24"/>
          <w:lang w:eastAsia="zh-CN"/>
        </w:rPr>
        <w:t>（</w:t>
      </w:r>
      <w:r>
        <w:rPr>
          <w:rFonts w:hint="eastAsia" w:ascii="Times New Roman" w:hAnsi="Times New Roman" w:eastAsia="宋体" w:cs="Times New Roman"/>
          <w:b w:val="0"/>
          <w:bCs/>
          <w:color w:val="auto"/>
          <w:sz w:val="24"/>
          <w:szCs w:val="24"/>
          <w:lang w:val="en-US" w:eastAsia="zh-CN"/>
        </w:rPr>
        <w:t>1</w:t>
      </w:r>
      <w:r>
        <w:rPr>
          <w:rFonts w:hint="eastAsia" w:ascii="Times New Roman" w:hAnsi="Times New Roman" w:eastAsia="宋体" w:cs="Times New Roman"/>
          <w:b w:val="0"/>
          <w:bCs/>
          <w:color w:val="auto"/>
          <w:sz w:val="24"/>
          <w:szCs w:val="24"/>
          <w:lang w:eastAsia="zh-CN"/>
        </w:rPr>
        <w:t>）</w:t>
      </w:r>
      <w:r>
        <w:rPr>
          <w:rFonts w:hint="default" w:ascii="Times New Roman" w:hAnsi="Times New Roman" w:eastAsia="宋体" w:cs="Times New Roman"/>
          <w:b w:val="0"/>
          <w:bCs/>
          <w:color w:val="auto"/>
          <w:sz w:val="24"/>
          <w:szCs w:val="24"/>
          <w:lang w:eastAsia="zh-CN"/>
        </w:rPr>
        <w:t>环保组织机构及规章制度</w:t>
      </w:r>
      <w:bookmarkEnd w:id="8"/>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eastAsia="zh-CN"/>
        </w:rPr>
      </w:pPr>
      <w:r>
        <w:rPr>
          <w:rFonts w:hint="eastAsia" w:eastAsia="宋体" w:cs="Times New Roman"/>
          <w:b w:val="0"/>
          <w:bCs/>
          <w:color w:val="auto"/>
          <w:sz w:val="24"/>
          <w:szCs w:val="24"/>
          <w:lang w:eastAsia="zh-CN"/>
        </w:rPr>
        <w:t>安徽坤隆新型建材有限公司</w:t>
      </w:r>
      <w:r>
        <w:rPr>
          <w:rFonts w:hint="default" w:ascii="Times New Roman" w:hAnsi="Times New Roman" w:eastAsia="宋体" w:cs="Times New Roman"/>
          <w:b w:val="0"/>
          <w:bCs/>
          <w:color w:val="auto"/>
          <w:sz w:val="24"/>
          <w:szCs w:val="24"/>
          <w:lang w:eastAsia="zh-CN"/>
        </w:rPr>
        <w:t>已按要求已设立环境管理制度及人员责任分工</w:t>
      </w:r>
      <w:r>
        <w:rPr>
          <w:rFonts w:hint="eastAsia"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（2）环境风险防范措施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年产40万方商砼和年产20万方湿拌砂浆扩建项目</w:t>
      </w:r>
      <w:r>
        <w:rPr>
          <w:rFonts w:hint="eastAsia" w:ascii="Times New Roman" w:hAnsi="Times New Roman" w:eastAsia="宋体" w:cs="Times New Roman"/>
          <w:b w:val="0"/>
          <w:bCs/>
          <w:color w:val="auto"/>
          <w:sz w:val="24"/>
          <w:szCs w:val="24"/>
          <w:lang w:val="en-US" w:eastAsia="zh-CN"/>
        </w:rPr>
        <w:t>环评及批复中未对企业突发环境事件应急预案做出要求。</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（3）环境监测计划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安徽坤隆新型建材有限公司</w:t>
      </w:r>
      <w:r>
        <w:rPr>
          <w:rFonts w:hint="eastAsia" w:ascii="Times New Roman" w:hAnsi="Times New Roman" w:eastAsia="宋体" w:cs="Times New Roman"/>
          <w:b w:val="0"/>
          <w:bCs/>
          <w:color w:val="auto"/>
          <w:sz w:val="24"/>
          <w:szCs w:val="24"/>
          <w:lang w:val="en-US" w:eastAsia="zh-CN"/>
        </w:rPr>
        <w:t>暂未制定环境监测计划。</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2.2配套措施落实情况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（1）区域削减及淘汰落后产能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不涉及区域削减及淘汰落后产能的措施。</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（2）防护距离控制及居民搬迁</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 w:val="0"/>
          <w:bCs/>
          <w:color w:val="auto"/>
          <w:sz w:val="24"/>
          <w:szCs w:val="24"/>
          <w:lang w:eastAsia="zh-CN"/>
        </w:rPr>
      </w:pPr>
      <w:r>
        <w:rPr>
          <w:rFonts w:hint="eastAsia" w:eastAsia="宋体" w:cs="Times New Roman"/>
          <w:b w:val="0"/>
          <w:bCs/>
          <w:color w:val="auto"/>
          <w:sz w:val="24"/>
          <w:szCs w:val="24"/>
          <w:lang w:val="en-US" w:eastAsia="zh-CN"/>
        </w:rPr>
        <w:t>本项目防护距离内不涉及居民等敏感目标</w:t>
      </w:r>
      <w:r>
        <w:rPr>
          <w:rFonts w:hint="default" w:ascii="Times New Roman" w:hAnsi="Times New Roman" w:eastAsia="宋体" w:cs="Times New Roman"/>
          <w:b w:val="0"/>
          <w:bCs/>
          <w:color w:val="auto"/>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2.3其他措施落实情况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年产40万方商砼和年产20万方湿拌砂浆扩建项目不涉及林地补偿、珍稀动植物保护、区域环境整治、相关外围工程建设情况等。</w:t>
      </w:r>
    </w:p>
    <w:p>
      <w:pPr>
        <w:pStyle w:val="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eastAsia="宋体" w:cs="Times New Roman"/>
          <w:b/>
          <w:bCs w:val="0"/>
          <w:color w:val="auto"/>
          <w:sz w:val="24"/>
          <w:szCs w:val="24"/>
          <w:lang w:val="en-US" w:eastAsia="zh-CN"/>
        </w:rPr>
      </w:pPr>
      <w:r>
        <w:rPr>
          <w:rFonts w:hint="eastAsia" w:eastAsia="宋体" w:cs="Times New Roman"/>
          <w:b/>
          <w:bCs w:val="0"/>
          <w:color w:val="auto"/>
          <w:sz w:val="24"/>
          <w:szCs w:val="24"/>
          <w:lang w:val="en-US" w:eastAsia="zh-CN"/>
        </w:rPr>
        <w:t>3整改工作情况</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eastAsia="宋体" w:cs="Times New Roman"/>
          <w:b w:val="0"/>
          <w:bCs/>
          <w:color w:val="auto"/>
          <w:sz w:val="24"/>
          <w:szCs w:val="24"/>
          <w:lang w:val="en-US" w:eastAsia="zh-CN"/>
        </w:rPr>
      </w:pPr>
      <w:r>
        <w:rPr>
          <w:rFonts w:hint="eastAsia" w:eastAsia="宋体" w:cs="Times New Roman"/>
          <w:b w:val="0"/>
          <w:bCs/>
          <w:color w:val="auto"/>
          <w:sz w:val="24"/>
          <w:szCs w:val="24"/>
          <w:lang w:val="en-US" w:eastAsia="zh-CN"/>
        </w:rPr>
        <w:t>年产40万方商砼和年产20万方湿拌砂浆扩建项目</w:t>
      </w:r>
      <w:bookmarkStart w:id="9" w:name="_GoBack"/>
      <w:bookmarkEnd w:id="9"/>
      <w:r>
        <w:rPr>
          <w:rFonts w:hint="eastAsia" w:eastAsia="宋体" w:cs="Times New Roman"/>
          <w:b w:val="0"/>
          <w:bCs/>
          <w:color w:val="auto"/>
          <w:sz w:val="24"/>
          <w:szCs w:val="24"/>
          <w:lang w:val="en-US" w:eastAsia="zh-CN"/>
        </w:rPr>
        <w:t>不涉及整改工作。</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2UxOTkyMDE3NWQxMGEwMDA4N2ExMjFhYzlkMGEifQ=="/>
  </w:docVars>
  <w:rsids>
    <w:rsidRoot w:val="00000000"/>
    <w:rsid w:val="03F80B24"/>
    <w:rsid w:val="0DB41137"/>
    <w:rsid w:val="0E642388"/>
    <w:rsid w:val="34D3546F"/>
    <w:rsid w:val="3A0C0537"/>
    <w:rsid w:val="456F1A5B"/>
    <w:rsid w:val="4B60196B"/>
    <w:rsid w:val="6959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4"/>
    <w:basedOn w:val="1"/>
    <w:next w:val="1"/>
    <w:autoRedefine/>
    <w:qFormat/>
    <w:uiPriority w:val="9"/>
    <w:pPr>
      <w:keepNext/>
      <w:keepLines/>
      <w:spacing w:before="280" w:beforeLines="0" w:after="290" w:afterLines="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autoRedefine/>
    <w:unhideWhenUsed/>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1351</Words>
  <Characters>1383</Characters>
  <Lines>0</Lines>
  <Paragraphs>0</Paragraphs>
  <TotalTime>0</TotalTime>
  <ScaleCrop>false</ScaleCrop>
  <LinksUpToDate>false</LinksUpToDate>
  <CharactersWithSpaces>1384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默守</cp:lastModifiedBy>
  <dcterms:modified xsi:type="dcterms:W3CDTF">2024-01-30T01:36:17Z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2A152BDF998640738D11E4E1670F43F9</vt:lpwstr>
  </property>
</Properties>
</file>