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000000"/>
          <w:spacing w:val="20"/>
          <w:sz w:val="52"/>
          <w:szCs w:val="52"/>
          <w:highlight w:val="none"/>
        </w:rPr>
      </w:pPr>
      <w:bookmarkStart w:id="0" w:name="_Toc3560_WPSOffice_Level1"/>
    </w:p>
    <w:p>
      <w:pPr>
        <w:outlineLvl w:val="9"/>
        <w:rPr>
          <w:rFonts w:hint="eastAsia"/>
        </w:rPr>
      </w:pPr>
    </w:p>
    <w:p>
      <w:pPr>
        <w:jc w:val="center"/>
        <w:rPr>
          <w:rFonts w:hint="eastAsia" w:ascii="宋体" w:hAnsi="宋体" w:eastAsia="宋体" w:cs="宋体"/>
          <w:b/>
          <w:color w:val="000000"/>
          <w:spacing w:val="20"/>
          <w:sz w:val="52"/>
          <w:szCs w:val="52"/>
          <w:highlight w:val="none"/>
        </w:rPr>
      </w:pPr>
      <w:r>
        <w:rPr>
          <w:rFonts w:hint="eastAsia" w:ascii="宋体" w:hAnsi="宋体" w:eastAsia="宋体" w:cs="宋体"/>
          <w:b/>
          <w:color w:val="000000"/>
          <w:spacing w:val="20"/>
          <w:sz w:val="52"/>
          <w:szCs w:val="52"/>
          <w:highlight w:val="none"/>
        </w:rPr>
        <w:t>第</w:t>
      </w:r>
      <w:r>
        <w:rPr>
          <w:rFonts w:hint="eastAsia" w:ascii="宋体" w:hAnsi="宋体" w:eastAsia="宋体" w:cs="宋体"/>
          <w:b/>
          <w:color w:val="000000"/>
          <w:spacing w:val="20"/>
          <w:sz w:val="52"/>
          <w:szCs w:val="52"/>
          <w:highlight w:val="none"/>
          <w:lang w:val="en-US" w:eastAsia="zh-CN"/>
        </w:rPr>
        <w:t>三</w:t>
      </w:r>
      <w:r>
        <w:rPr>
          <w:rFonts w:hint="eastAsia" w:ascii="宋体" w:hAnsi="宋体" w:eastAsia="宋体" w:cs="宋体"/>
          <w:b/>
          <w:color w:val="000000"/>
          <w:spacing w:val="20"/>
          <w:sz w:val="52"/>
          <w:szCs w:val="52"/>
          <w:highlight w:val="none"/>
        </w:rPr>
        <w:t>部分</w:t>
      </w:r>
    </w:p>
    <w:tbl>
      <w:tblPr>
        <w:tblStyle w:val="4"/>
        <w:tblpPr w:leftFromText="180" w:rightFromText="180" w:vertAnchor="text" w:horzAnchor="page" w:tblpX="3562" w:tblpY="892"/>
        <w:tblOverlap w:val="never"/>
        <w:tblW w:w="0" w:type="auto"/>
        <w:tblInd w:w="0" w:type="dxa"/>
        <w:tblLayout w:type="fixed"/>
        <w:tblCellMar>
          <w:top w:w="0" w:type="dxa"/>
          <w:left w:w="108" w:type="dxa"/>
          <w:bottom w:w="0" w:type="dxa"/>
          <w:right w:w="108" w:type="dxa"/>
        </w:tblCellMar>
      </w:tblPr>
      <w:tblGrid>
        <w:gridCol w:w="5010"/>
      </w:tblGrid>
      <w:tr>
        <w:tblPrEx>
          <w:tblCellMar>
            <w:top w:w="0" w:type="dxa"/>
            <w:left w:w="108" w:type="dxa"/>
            <w:bottom w:w="0" w:type="dxa"/>
            <w:right w:w="108" w:type="dxa"/>
          </w:tblCellMar>
        </w:tblPrEx>
        <w:trPr>
          <w:trHeight w:val="1339" w:hRule="atLeast"/>
        </w:trPr>
        <w:tc>
          <w:tcPr>
            <w:tcW w:w="5010" w:type="dxa"/>
            <w:noWrap w:val="0"/>
            <w:vAlign w:val="top"/>
          </w:tcPr>
          <w:p>
            <w:pPr>
              <w:jc w:val="center"/>
              <w:rPr>
                <w:rFonts w:hint="eastAsia" w:ascii="宋体" w:hAnsi="宋体" w:eastAsia="宋体" w:cs="宋体"/>
                <w:b/>
                <w:color w:val="000000"/>
                <w:spacing w:val="6"/>
                <w:w w:val="94"/>
                <w:kern w:val="0"/>
                <w:sz w:val="48"/>
                <w:szCs w:val="48"/>
                <w:highlight w:val="none"/>
              </w:rPr>
            </w:pPr>
            <w:r>
              <w:rPr>
                <w:rFonts w:hint="eastAsia" w:ascii="宋体" w:hAnsi="宋体" w:eastAsia="宋体" w:cs="宋体"/>
                <w:b/>
                <w:color w:val="000000"/>
                <w:spacing w:val="6"/>
                <w:w w:val="94"/>
                <w:kern w:val="0"/>
                <w:sz w:val="48"/>
                <w:szCs w:val="48"/>
                <w:highlight w:val="none"/>
              </w:rPr>
              <w:t>其他需要说明的事项</w:t>
            </w:r>
          </w:p>
        </w:tc>
      </w:tr>
      <w:tr>
        <w:tblPrEx>
          <w:tblCellMar>
            <w:top w:w="0" w:type="dxa"/>
            <w:left w:w="108" w:type="dxa"/>
            <w:bottom w:w="0" w:type="dxa"/>
            <w:right w:w="108" w:type="dxa"/>
          </w:tblCellMar>
        </w:tblPrEx>
        <w:tc>
          <w:tcPr>
            <w:tcW w:w="5010" w:type="dxa"/>
            <w:noWrap w:val="0"/>
            <w:vAlign w:val="top"/>
          </w:tcPr>
          <w:p>
            <w:pPr>
              <w:ind w:firstLine="1526"/>
              <w:jc w:val="center"/>
              <w:rPr>
                <w:rFonts w:hint="eastAsia" w:ascii="宋体" w:hAnsi="宋体" w:eastAsia="宋体" w:cs="宋体"/>
                <w:b/>
                <w:color w:val="000000"/>
                <w:spacing w:val="20"/>
                <w:sz w:val="72"/>
                <w:szCs w:val="72"/>
                <w:highlight w:val="none"/>
              </w:rPr>
            </w:pPr>
          </w:p>
        </w:tc>
      </w:tr>
    </w:tbl>
    <w:p>
      <w:pPr>
        <w:pStyle w:val="3"/>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eastAsia="宋体"/>
          <w:b/>
          <w:bCs w:val="0"/>
          <w:color w:val="auto"/>
          <w:sz w:val="36"/>
          <w:szCs w:val="36"/>
          <w:lang w:eastAsia="zh-CN"/>
        </w:rPr>
        <w:sectPr>
          <w:pgSz w:w="11906" w:h="16838"/>
          <w:pgMar w:top="1440" w:right="1800" w:bottom="1440" w:left="1800" w:header="851" w:footer="992" w:gutter="0"/>
          <w:cols w:space="720" w:num="1"/>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eastAsia="宋体"/>
          <w:b/>
          <w:bCs w:val="0"/>
          <w:color w:val="auto"/>
          <w:sz w:val="36"/>
          <w:szCs w:val="36"/>
          <w:lang w:eastAsia="zh-CN"/>
        </w:rPr>
      </w:pPr>
      <w:r>
        <w:rPr>
          <w:rFonts w:hint="eastAsia" w:eastAsia="宋体"/>
          <w:b/>
          <w:bCs w:val="0"/>
          <w:color w:val="auto"/>
          <w:sz w:val="36"/>
          <w:szCs w:val="36"/>
          <w:lang w:eastAsia="zh-CN"/>
        </w:rPr>
        <w:t>其他需要说明的事项</w:t>
      </w:r>
      <w:bookmarkEnd w:id="0"/>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eastAsia="zh-CN"/>
        </w:rPr>
        <w:t>根据《建设项目竣工环境保护验收暂行办法》，</w:t>
      </w:r>
      <w:r>
        <w:rPr>
          <w:rFonts w:hint="eastAsia" w:ascii="宋体" w:hAnsi="宋体" w:eastAsia="宋体" w:cs="宋体"/>
          <w:b w:val="0"/>
          <w:bCs/>
          <w:color w:val="auto"/>
          <w:sz w:val="24"/>
          <w:szCs w:val="24"/>
          <w:lang w:eastAsia="zh-CN"/>
        </w:rPr>
        <w:t>“其他需要说明的事项”</w:t>
      </w:r>
      <w:r>
        <w:rPr>
          <w:rFonts w:hint="default" w:ascii="Times New Roman" w:hAnsi="Times New Roman" w:eastAsia="宋体" w:cs="Times New Roman"/>
          <w:b w:val="0"/>
          <w:bCs/>
          <w:color w:val="auto"/>
          <w:sz w:val="24"/>
          <w:szCs w:val="24"/>
          <w:lang w:eastAsia="zh-CN"/>
        </w:rPr>
        <w:t>中应如实记载的内容包括环境保护设施设计、施工和验收过程简况，环境影响报告表及其审批部门审批决定中提出的，除环境保护设施外的其他环境保护措施的落实情况，以及整改工作情况等，现将建设单位需要说明的具体内容和要求列举如下：</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bCs w:val="0"/>
          <w:color w:val="auto"/>
          <w:sz w:val="24"/>
          <w:szCs w:val="24"/>
          <w:lang w:eastAsia="zh-CN"/>
        </w:rPr>
      </w:pPr>
      <w:bookmarkStart w:id="1" w:name="_Toc19129_WPSOffice_Level1"/>
      <w:r>
        <w:rPr>
          <w:rFonts w:hint="default" w:ascii="Times New Roman" w:hAnsi="Times New Roman" w:eastAsia="宋体" w:cs="Times New Roman"/>
          <w:b/>
          <w:bCs w:val="0"/>
          <w:color w:val="auto"/>
          <w:sz w:val="24"/>
          <w:szCs w:val="24"/>
          <w:lang w:eastAsia="zh-CN"/>
        </w:rPr>
        <w:t>1环境保护设施设计、施工和验收过程简况</w:t>
      </w:r>
      <w:bookmarkEnd w:id="1"/>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val="0"/>
          <w:bCs/>
          <w:color w:val="auto"/>
          <w:sz w:val="24"/>
          <w:szCs w:val="24"/>
          <w:lang w:eastAsia="zh-CN"/>
        </w:rPr>
      </w:pPr>
      <w:bookmarkStart w:id="2" w:name="_Toc7820_WPSOffice_Level1"/>
      <w:r>
        <w:rPr>
          <w:rFonts w:hint="default" w:ascii="Times New Roman" w:hAnsi="Times New Roman" w:eastAsia="宋体" w:cs="Times New Roman"/>
          <w:b w:val="0"/>
          <w:bCs/>
          <w:color w:val="auto"/>
          <w:sz w:val="24"/>
          <w:szCs w:val="24"/>
          <w:lang w:eastAsia="zh-CN"/>
        </w:rPr>
        <w:t>1.1设计简况</w:t>
      </w:r>
      <w:bookmarkEnd w:id="2"/>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eastAsia="zh-CN"/>
        </w:rPr>
        <w:t>本项目已将建设项目的环境保护设施纳入了初步设计，环境保护设施的设计符合环境保护设计规范的要求，编制了环境保护篇章，落实了防治污染和生态破环的措施以及环境保护设施投资概算。</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val="0"/>
          <w:bCs/>
          <w:color w:val="auto"/>
          <w:sz w:val="24"/>
          <w:szCs w:val="24"/>
          <w:lang w:eastAsia="zh-CN"/>
        </w:rPr>
      </w:pPr>
      <w:bookmarkStart w:id="3" w:name="_Toc31339_WPSOffice_Level1"/>
      <w:r>
        <w:rPr>
          <w:rFonts w:hint="default" w:ascii="Times New Roman" w:hAnsi="Times New Roman" w:eastAsia="宋体" w:cs="Times New Roman"/>
          <w:b w:val="0"/>
          <w:bCs/>
          <w:color w:val="auto"/>
          <w:sz w:val="24"/>
          <w:szCs w:val="24"/>
          <w:lang w:eastAsia="zh-CN"/>
        </w:rPr>
        <w:t>1.2施工简况</w:t>
      </w:r>
      <w:bookmarkEnd w:id="3"/>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eastAsia="zh-CN"/>
        </w:rPr>
        <w:t>本项目已将环境保护设施纳入了施工合同，环境保护设施的建设进度和资金得到了保证，项目建设过程中组织实施了环境影响报告表及其审批部门审批决定中提出的环境保护对策措施。</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val="0"/>
          <w:bCs/>
          <w:color w:val="auto"/>
          <w:sz w:val="24"/>
          <w:szCs w:val="24"/>
          <w:lang w:eastAsia="zh-CN"/>
        </w:rPr>
      </w:pPr>
      <w:bookmarkStart w:id="4" w:name="_Toc15926_WPSOffice_Level1"/>
      <w:r>
        <w:rPr>
          <w:rFonts w:hint="default" w:ascii="Times New Roman" w:hAnsi="Times New Roman" w:eastAsia="宋体" w:cs="Times New Roman"/>
          <w:b w:val="0"/>
          <w:bCs/>
          <w:color w:val="auto"/>
          <w:sz w:val="24"/>
          <w:szCs w:val="24"/>
          <w:lang w:eastAsia="zh-CN"/>
        </w:rPr>
        <w:t>1.3验收过程简况</w:t>
      </w:r>
      <w:bookmarkEnd w:id="4"/>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color w:val="auto"/>
          <w:kern w:val="0"/>
          <w:sz w:val="24"/>
          <w:szCs w:val="24"/>
          <w:highlight w:val="none"/>
          <w:lang w:val="en-US" w:eastAsia="zh-CN"/>
        </w:rPr>
        <w:t>中国能建池州市贵池区读山湖渔光互补光伏发电项目主体工程运行正常，</w:t>
      </w:r>
      <w:r>
        <w:rPr>
          <w:rFonts w:hint="eastAsia" w:ascii="Times New Roman" w:hAnsi="Times New Roman" w:eastAsia="宋体" w:cs="Times New Roman"/>
          <w:color w:val="auto"/>
          <w:kern w:val="0"/>
          <w:sz w:val="24"/>
          <w:szCs w:val="24"/>
          <w:highlight w:val="none"/>
          <w:lang w:val="en-US" w:eastAsia="zh-CN"/>
        </w:rPr>
        <w:t>立邦新型材料（安徽）有限公司</w:t>
      </w:r>
      <w:r>
        <w:rPr>
          <w:rFonts w:hint="default" w:ascii="Times New Roman" w:hAnsi="Times New Roman" w:eastAsia="宋体" w:cs="Times New Roman"/>
          <w:color w:val="auto"/>
          <w:kern w:val="0"/>
          <w:sz w:val="24"/>
          <w:szCs w:val="24"/>
          <w:highlight w:val="none"/>
          <w:lang w:val="en-US" w:eastAsia="zh-CN"/>
        </w:rPr>
        <w:t>积极落实有关环保措施，环保设施运行正常，根据国务院令第682号《建设项目环境保护管理条例》、环境保护部【2017】4号《建设项目竣工环境保护验收暂行办法》和《建设项目竣工环境保护验收技术指南 污染影响类》要求，中能建投池州新能源有限公司于202</w:t>
      </w:r>
      <w:r>
        <w:rPr>
          <w:rFonts w:hint="eastAsia" w:ascii="Times New Roman" w:hAnsi="Times New Roman" w:eastAsia="宋体" w:cs="Times New Roman"/>
          <w:color w:val="auto"/>
          <w:kern w:val="0"/>
          <w:sz w:val="24"/>
          <w:szCs w:val="24"/>
          <w:highlight w:val="none"/>
          <w:lang w:val="en-US" w:eastAsia="zh-CN"/>
        </w:rPr>
        <w:t>2</w:t>
      </w:r>
      <w:r>
        <w:rPr>
          <w:rFonts w:hint="default" w:ascii="Times New Roman" w:hAnsi="Times New Roman" w:eastAsia="宋体" w:cs="Times New Roman"/>
          <w:color w:val="auto"/>
          <w:kern w:val="0"/>
          <w:sz w:val="24"/>
          <w:szCs w:val="24"/>
          <w:highlight w:val="none"/>
          <w:lang w:val="en-US" w:eastAsia="zh-CN"/>
        </w:rPr>
        <w:t>年</w:t>
      </w:r>
      <w:r>
        <w:rPr>
          <w:rFonts w:hint="eastAsia" w:eastAsia="宋体" w:cs="Times New Roman"/>
          <w:color w:val="auto"/>
          <w:kern w:val="0"/>
          <w:sz w:val="24"/>
          <w:szCs w:val="24"/>
          <w:highlight w:val="none"/>
          <w:lang w:val="en-US" w:eastAsia="zh-CN"/>
        </w:rPr>
        <w:t>10</w:t>
      </w:r>
      <w:r>
        <w:rPr>
          <w:rFonts w:hint="default" w:ascii="Times New Roman" w:hAnsi="Times New Roman" w:eastAsia="宋体" w:cs="Times New Roman"/>
          <w:color w:val="auto"/>
          <w:kern w:val="0"/>
          <w:sz w:val="24"/>
          <w:szCs w:val="24"/>
          <w:highlight w:val="none"/>
          <w:lang w:val="en-US" w:eastAsia="zh-CN"/>
        </w:rPr>
        <w:t>月</w:t>
      </w:r>
      <w:r>
        <w:rPr>
          <w:rFonts w:hint="eastAsia" w:ascii="Times New Roman" w:hAnsi="Times New Roman" w:eastAsia="宋体"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lang w:val="en-US" w:eastAsia="zh-CN"/>
        </w:rPr>
        <w:t>日委托安徽</w:t>
      </w:r>
      <w:r>
        <w:rPr>
          <w:rFonts w:hint="eastAsia" w:eastAsia="宋体" w:cs="Times New Roman"/>
          <w:color w:val="auto"/>
          <w:kern w:val="0"/>
          <w:sz w:val="24"/>
          <w:szCs w:val="24"/>
          <w:highlight w:val="none"/>
          <w:lang w:val="en-US" w:eastAsia="zh-CN"/>
        </w:rPr>
        <w:t>启晨</w:t>
      </w:r>
      <w:r>
        <w:rPr>
          <w:rFonts w:hint="default" w:ascii="Times New Roman" w:hAnsi="Times New Roman" w:eastAsia="宋体" w:cs="Times New Roman"/>
          <w:color w:val="auto"/>
          <w:kern w:val="0"/>
          <w:sz w:val="24"/>
          <w:szCs w:val="24"/>
          <w:highlight w:val="none"/>
          <w:lang w:val="en-US" w:eastAsia="zh-CN"/>
        </w:rPr>
        <w:t>环境科技有限公司对建成的中国能建池州市贵池区读山湖渔光互补光伏发电项目的主体工程及其配套设施进行验收，安徽</w:t>
      </w:r>
      <w:r>
        <w:rPr>
          <w:rFonts w:hint="eastAsia" w:eastAsia="宋体" w:cs="Times New Roman"/>
          <w:color w:val="auto"/>
          <w:kern w:val="0"/>
          <w:sz w:val="24"/>
          <w:szCs w:val="24"/>
          <w:highlight w:val="none"/>
          <w:lang w:val="en-US" w:eastAsia="zh-CN"/>
        </w:rPr>
        <w:t>启晨</w:t>
      </w:r>
      <w:r>
        <w:rPr>
          <w:rFonts w:hint="default" w:ascii="Times New Roman" w:hAnsi="Times New Roman" w:eastAsia="宋体" w:cs="Times New Roman"/>
          <w:color w:val="auto"/>
          <w:kern w:val="0"/>
          <w:sz w:val="24"/>
          <w:szCs w:val="24"/>
          <w:highlight w:val="none"/>
          <w:lang w:val="en-US" w:eastAsia="zh-CN"/>
        </w:rPr>
        <w:t>环境科技有限公司组织技术人员对该项目进行了现场勘察，在对该项目技术资料查阅和</w:t>
      </w:r>
      <w:r>
        <w:rPr>
          <w:rFonts w:hint="eastAsia" w:ascii="Times New Roman" w:hAnsi="Times New Roman" w:eastAsia="宋体" w:cs="Times New Roman"/>
          <w:color w:val="auto"/>
          <w:kern w:val="0"/>
          <w:sz w:val="24"/>
          <w:szCs w:val="24"/>
          <w:highlight w:val="none"/>
          <w:lang w:val="en-US" w:eastAsia="zh-CN"/>
        </w:rPr>
        <w:t>现场勘查</w:t>
      </w:r>
      <w:r>
        <w:rPr>
          <w:rFonts w:hint="default" w:ascii="Times New Roman" w:hAnsi="Times New Roman" w:eastAsia="宋体" w:cs="Times New Roman"/>
          <w:color w:val="auto"/>
          <w:kern w:val="0"/>
          <w:sz w:val="24"/>
          <w:szCs w:val="24"/>
          <w:highlight w:val="none"/>
          <w:lang w:val="en-US" w:eastAsia="zh-CN"/>
        </w:rPr>
        <w:t>的基础上编制了《中国能建池州市贵池区读山湖渔光互补光伏发电项目竣工环境保护验收监测方案》，作为现场监测的依据。安徽尚德谱检测技术有限责任公司于202</w:t>
      </w:r>
      <w:r>
        <w:rPr>
          <w:rFonts w:hint="eastAsia" w:ascii="Times New Roman" w:hAnsi="Times New Roman" w:eastAsia="宋体" w:cs="Times New Roman"/>
          <w:color w:val="auto"/>
          <w:kern w:val="0"/>
          <w:sz w:val="24"/>
          <w:szCs w:val="24"/>
          <w:highlight w:val="none"/>
          <w:lang w:val="en-US" w:eastAsia="zh-CN"/>
        </w:rPr>
        <w:t>2</w:t>
      </w:r>
      <w:r>
        <w:rPr>
          <w:rFonts w:hint="default" w:ascii="Times New Roman" w:hAnsi="Times New Roman" w:eastAsia="宋体" w:cs="Times New Roman"/>
          <w:color w:val="auto"/>
          <w:kern w:val="0"/>
          <w:sz w:val="24"/>
          <w:szCs w:val="24"/>
          <w:highlight w:val="none"/>
          <w:lang w:val="en-US" w:eastAsia="zh-CN"/>
        </w:rPr>
        <w:t>年</w:t>
      </w:r>
      <w:r>
        <w:rPr>
          <w:rFonts w:hint="eastAsia" w:ascii="Times New Roman" w:hAnsi="Times New Roman" w:eastAsia="宋体" w:cs="Times New Roman"/>
          <w:color w:val="auto"/>
          <w:kern w:val="0"/>
          <w:sz w:val="24"/>
          <w:szCs w:val="24"/>
          <w:highlight w:val="none"/>
          <w:lang w:val="en-US" w:eastAsia="zh-CN"/>
        </w:rPr>
        <w:t>10</w:t>
      </w:r>
      <w:r>
        <w:rPr>
          <w:rFonts w:hint="default" w:ascii="Times New Roman" w:hAnsi="Times New Roman" w:eastAsia="宋体" w:cs="Times New Roman"/>
          <w:color w:val="auto"/>
          <w:kern w:val="0"/>
          <w:sz w:val="24"/>
          <w:szCs w:val="24"/>
          <w:highlight w:val="none"/>
          <w:lang w:val="en-US" w:eastAsia="zh-CN"/>
        </w:rPr>
        <w:t>月</w:t>
      </w:r>
      <w:r>
        <w:rPr>
          <w:rFonts w:hint="eastAsia" w:eastAsia="宋体" w:cs="Times New Roman"/>
          <w:color w:val="auto"/>
          <w:kern w:val="0"/>
          <w:sz w:val="24"/>
          <w:szCs w:val="24"/>
          <w:highlight w:val="none"/>
          <w:lang w:val="en-US" w:eastAsia="zh-CN"/>
        </w:rPr>
        <w:t>12</w:t>
      </w:r>
      <w:r>
        <w:rPr>
          <w:rFonts w:hint="default" w:ascii="Times New Roman" w:hAnsi="Times New Roman" w:eastAsia="宋体" w:cs="Times New Roman"/>
          <w:color w:val="auto"/>
          <w:kern w:val="0"/>
          <w:sz w:val="24"/>
          <w:szCs w:val="24"/>
          <w:highlight w:val="none"/>
          <w:lang w:val="en-US" w:eastAsia="zh-CN"/>
        </w:rPr>
        <w:t>、</w:t>
      </w:r>
      <w:r>
        <w:rPr>
          <w:rFonts w:hint="eastAsia" w:eastAsia="宋体" w:cs="Times New Roman"/>
          <w:color w:val="auto"/>
          <w:kern w:val="0"/>
          <w:sz w:val="24"/>
          <w:szCs w:val="24"/>
          <w:highlight w:val="none"/>
          <w:lang w:val="en-US" w:eastAsia="zh-CN"/>
        </w:rPr>
        <w:t>13</w:t>
      </w:r>
      <w:r>
        <w:rPr>
          <w:rFonts w:hint="default" w:ascii="Times New Roman" w:hAnsi="Times New Roman" w:eastAsia="宋体" w:cs="Times New Roman"/>
          <w:color w:val="auto"/>
          <w:kern w:val="0"/>
          <w:sz w:val="24"/>
          <w:szCs w:val="24"/>
          <w:highlight w:val="none"/>
          <w:lang w:val="en-US" w:eastAsia="zh-CN"/>
        </w:rPr>
        <w:t>日组织监测人员对该项目排放的噪声进行了验收监测，安徽</w:t>
      </w:r>
      <w:r>
        <w:rPr>
          <w:rFonts w:hint="eastAsia" w:eastAsia="宋体" w:cs="Times New Roman"/>
          <w:color w:val="auto"/>
          <w:kern w:val="0"/>
          <w:sz w:val="24"/>
          <w:szCs w:val="24"/>
          <w:highlight w:val="none"/>
          <w:lang w:val="en-US" w:eastAsia="zh-CN"/>
        </w:rPr>
        <w:t>启晨</w:t>
      </w:r>
      <w:r>
        <w:rPr>
          <w:rFonts w:hint="default" w:ascii="Times New Roman" w:hAnsi="Times New Roman" w:eastAsia="宋体" w:cs="Times New Roman"/>
          <w:color w:val="auto"/>
          <w:kern w:val="0"/>
          <w:sz w:val="24"/>
          <w:szCs w:val="24"/>
          <w:highlight w:val="none"/>
          <w:lang w:val="en-US" w:eastAsia="zh-CN"/>
        </w:rPr>
        <w:t>环境科技有限公司对项目建设情况及环保制度落实情况进行了</w:t>
      </w:r>
      <w:r>
        <w:rPr>
          <w:rFonts w:hint="eastAsia" w:eastAsia="宋体" w:cs="Times New Roman"/>
          <w:color w:val="auto"/>
          <w:kern w:val="0"/>
          <w:sz w:val="24"/>
          <w:szCs w:val="24"/>
          <w:highlight w:val="none"/>
          <w:lang w:val="en-US" w:eastAsia="zh-CN"/>
        </w:rPr>
        <w:t>调查</w:t>
      </w:r>
      <w:r>
        <w:rPr>
          <w:rFonts w:hint="default" w:ascii="Times New Roman" w:hAnsi="Times New Roman" w:eastAsia="宋体" w:cs="Times New Roman"/>
          <w:color w:val="auto"/>
          <w:kern w:val="0"/>
          <w:sz w:val="24"/>
          <w:szCs w:val="24"/>
          <w:highlight w:val="none"/>
          <w:lang w:val="en-US" w:eastAsia="zh-CN"/>
        </w:rPr>
        <w:t>，在对监测、检查结果进行认真分析和整理的基础上，编制该项目竣工环境保护验收</w:t>
      </w:r>
      <w:r>
        <w:rPr>
          <w:rFonts w:hint="eastAsia" w:eastAsia="宋体" w:cs="Times New Roman"/>
          <w:color w:val="auto"/>
          <w:kern w:val="0"/>
          <w:sz w:val="24"/>
          <w:szCs w:val="24"/>
          <w:highlight w:val="none"/>
          <w:lang w:val="en-US" w:eastAsia="zh-CN"/>
        </w:rPr>
        <w:t>调查</w:t>
      </w:r>
      <w:r>
        <w:rPr>
          <w:rFonts w:hint="default" w:ascii="Times New Roman" w:hAnsi="Times New Roman" w:eastAsia="宋体" w:cs="Times New Roman"/>
          <w:color w:val="auto"/>
          <w:kern w:val="0"/>
          <w:sz w:val="24"/>
          <w:szCs w:val="24"/>
          <w:highlight w:val="none"/>
          <w:lang w:val="en-US" w:eastAsia="zh-CN"/>
        </w:rPr>
        <w:t>表。</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val="0"/>
          <w:bCs/>
          <w:color w:val="auto"/>
          <w:sz w:val="24"/>
          <w:szCs w:val="24"/>
          <w:lang w:eastAsia="zh-CN"/>
        </w:rPr>
      </w:pPr>
      <w:bookmarkStart w:id="5" w:name="_Toc5203_WPSOffice_Level1"/>
      <w:r>
        <w:rPr>
          <w:rFonts w:hint="default" w:ascii="Times New Roman" w:hAnsi="Times New Roman" w:eastAsia="宋体" w:cs="Times New Roman"/>
          <w:b w:val="0"/>
          <w:bCs/>
          <w:color w:val="auto"/>
          <w:sz w:val="24"/>
          <w:szCs w:val="24"/>
          <w:lang w:eastAsia="zh-CN"/>
        </w:rPr>
        <w:t>1.4公众反馈意见及处理情况</w:t>
      </w:r>
      <w:bookmarkEnd w:id="5"/>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eastAsia="zh-CN"/>
        </w:rPr>
        <w:t>本项目在设计、施工和验收期间未收到过公众反馈意见或投诉。</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bCs w:val="0"/>
          <w:color w:val="auto"/>
          <w:sz w:val="24"/>
          <w:szCs w:val="24"/>
          <w:lang w:eastAsia="zh-CN"/>
        </w:rPr>
      </w:pPr>
      <w:bookmarkStart w:id="6" w:name="_Toc30324_WPSOffice_Level1"/>
      <w:r>
        <w:rPr>
          <w:rFonts w:hint="default" w:ascii="Times New Roman" w:hAnsi="Times New Roman" w:eastAsia="宋体" w:cs="Times New Roman"/>
          <w:b/>
          <w:bCs w:val="0"/>
          <w:color w:val="auto"/>
          <w:sz w:val="24"/>
          <w:szCs w:val="24"/>
          <w:lang w:eastAsia="zh-CN"/>
        </w:rPr>
        <w:t>2其他环境保护措施的落实情况</w:t>
      </w:r>
      <w:bookmarkEnd w:id="6"/>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eastAsia="zh-CN"/>
        </w:rPr>
        <w:t>环境影响报告表及其审批部门审批决定中提出的，除环境保护设施外的其他环境保护措施，主要包括制度措施和配套措施等，现将需要说明的措施内容和要求梳理如下：</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val="0"/>
          <w:bCs/>
          <w:color w:val="auto"/>
          <w:sz w:val="24"/>
          <w:szCs w:val="24"/>
          <w:lang w:eastAsia="zh-CN"/>
        </w:rPr>
      </w:pPr>
      <w:bookmarkStart w:id="7" w:name="_Toc2009_WPSOffice_Level1"/>
      <w:r>
        <w:rPr>
          <w:rFonts w:hint="default" w:ascii="Times New Roman" w:hAnsi="Times New Roman" w:eastAsia="宋体" w:cs="Times New Roman"/>
          <w:b w:val="0"/>
          <w:bCs/>
          <w:color w:val="auto"/>
          <w:sz w:val="24"/>
          <w:szCs w:val="24"/>
          <w:lang w:eastAsia="zh-CN"/>
        </w:rPr>
        <w:t>2.1制度措施落实情况</w:t>
      </w:r>
      <w:bookmarkEnd w:id="7"/>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bookmarkStart w:id="8" w:name="_Toc15549_WPSOffice_Level2"/>
      <w:r>
        <w:rPr>
          <w:rFonts w:hint="eastAsia" w:ascii="Times New Roman" w:hAnsi="Times New Roman" w:eastAsia="宋体" w:cs="Times New Roman"/>
          <w:b w:val="0"/>
          <w:bCs/>
          <w:color w:val="auto"/>
          <w:sz w:val="24"/>
          <w:szCs w:val="24"/>
          <w:lang w:eastAsia="zh-CN"/>
        </w:rPr>
        <w:t>（</w:t>
      </w:r>
      <w:r>
        <w:rPr>
          <w:rFonts w:hint="eastAsia" w:ascii="Times New Roman" w:hAnsi="Times New Roman" w:eastAsia="宋体" w:cs="Times New Roman"/>
          <w:b w:val="0"/>
          <w:bCs/>
          <w:color w:val="auto"/>
          <w:sz w:val="24"/>
          <w:szCs w:val="24"/>
          <w:lang w:val="en-US" w:eastAsia="zh-CN"/>
        </w:rPr>
        <w:t>1</w:t>
      </w:r>
      <w:r>
        <w:rPr>
          <w:rFonts w:hint="eastAsia" w:ascii="Times New Roman" w:hAnsi="Times New Roman" w:eastAsia="宋体" w:cs="Times New Roman"/>
          <w:b w:val="0"/>
          <w:bCs/>
          <w:color w:val="auto"/>
          <w:sz w:val="24"/>
          <w:szCs w:val="24"/>
          <w:lang w:eastAsia="zh-CN"/>
        </w:rPr>
        <w:t>）</w:t>
      </w:r>
      <w:r>
        <w:rPr>
          <w:rFonts w:hint="default" w:ascii="Times New Roman" w:hAnsi="Times New Roman" w:eastAsia="宋体" w:cs="Times New Roman"/>
          <w:b w:val="0"/>
          <w:bCs/>
          <w:color w:val="auto"/>
          <w:sz w:val="24"/>
          <w:szCs w:val="24"/>
          <w:lang w:eastAsia="zh-CN"/>
        </w:rPr>
        <w:t>环保组织机构及规章制度</w:t>
      </w:r>
      <w:bookmarkEnd w:id="8"/>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eastAsia="zh-CN"/>
        </w:rPr>
        <w:t>中能建投池州新能源有限公司已按要求已设立环境管理制度及人员责任分工</w:t>
      </w:r>
      <w:r>
        <w:rPr>
          <w:rFonts w:hint="eastAsia" w:ascii="Times New Roman" w:hAnsi="Times New Roman" w:eastAsia="宋体" w:cs="Times New Roman"/>
          <w:b w:val="0"/>
          <w:bCs/>
          <w:color w:val="auto"/>
          <w:sz w:val="24"/>
          <w:szCs w:val="24"/>
          <w:lang w:eastAsia="zh-CN"/>
        </w:rPr>
        <w:t>。</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（2）环境风险防范措施</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中国能建池州市贵池区读山湖渔光互补光伏发电项目环评及批复中未对企业突发环境事件应急预案做出要求。</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（3）环境监测计划</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中能建投池州新能源有限公司暂未制定环境监测计划。</w:t>
      </w:r>
    </w:p>
    <w:p>
      <w:pPr>
        <w:pStyle w:val="3"/>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eastAsia" w:eastAsia="宋体" w:cs="Times New Roman"/>
          <w:b w:val="0"/>
          <w:bCs/>
          <w:color w:val="auto"/>
          <w:sz w:val="24"/>
          <w:szCs w:val="24"/>
          <w:lang w:val="en-US" w:eastAsia="zh-CN"/>
        </w:rPr>
      </w:pPr>
      <w:r>
        <w:rPr>
          <w:rFonts w:hint="eastAsia" w:eastAsia="宋体" w:cs="Times New Roman"/>
          <w:b w:val="0"/>
          <w:bCs/>
          <w:color w:val="auto"/>
          <w:sz w:val="24"/>
          <w:szCs w:val="24"/>
          <w:lang w:val="en-US" w:eastAsia="zh-CN"/>
        </w:rPr>
        <w:t>2.2配套措施落实情况</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（1）区域削减及淘汰落后产能</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不涉及区域削减及淘汰落后产能的措施。</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（2）防护距离控制及居民搬迁</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r>
        <w:rPr>
          <w:rFonts w:hint="eastAsia" w:ascii="Times New Roman" w:hAnsi="Times New Roman" w:eastAsia="宋体" w:cs="Times New Roman"/>
          <w:b w:val="0"/>
          <w:bCs/>
          <w:color w:val="auto"/>
          <w:sz w:val="24"/>
          <w:szCs w:val="24"/>
          <w:lang w:val="en-US" w:eastAsia="zh-CN"/>
        </w:rPr>
        <w:t>依据该项目</w:t>
      </w:r>
      <w:r>
        <w:rPr>
          <w:rFonts w:hint="eastAsia" w:eastAsia="宋体" w:cs="Times New Roman"/>
          <w:b w:val="0"/>
          <w:bCs/>
          <w:color w:val="auto"/>
          <w:sz w:val="24"/>
          <w:szCs w:val="24"/>
          <w:lang w:val="en-US" w:eastAsia="zh-CN"/>
        </w:rPr>
        <w:t>环评及</w:t>
      </w:r>
      <w:r>
        <w:rPr>
          <w:rFonts w:hint="eastAsia" w:ascii="Times New Roman" w:hAnsi="Times New Roman" w:eastAsia="宋体" w:cs="Times New Roman"/>
          <w:b w:val="0"/>
          <w:bCs/>
          <w:color w:val="auto"/>
          <w:sz w:val="24"/>
          <w:szCs w:val="24"/>
          <w:lang w:val="en-US" w:eastAsia="zh-CN"/>
        </w:rPr>
        <w:t>批复内容，</w:t>
      </w:r>
      <w:r>
        <w:rPr>
          <w:rFonts w:hint="eastAsia" w:eastAsia="宋体" w:cs="Times New Roman"/>
          <w:b w:val="0"/>
          <w:bCs/>
          <w:color w:val="auto"/>
          <w:sz w:val="24"/>
          <w:szCs w:val="24"/>
          <w:lang w:val="en-US" w:eastAsia="zh-CN"/>
        </w:rPr>
        <w:t>本项目不涉及</w:t>
      </w:r>
      <w:r>
        <w:rPr>
          <w:rFonts w:hint="eastAsia" w:ascii="Times New Roman" w:hAnsi="Times New Roman" w:eastAsia="宋体" w:cs="Times New Roman"/>
          <w:b w:val="0"/>
          <w:bCs/>
          <w:color w:val="auto"/>
          <w:sz w:val="24"/>
          <w:szCs w:val="24"/>
          <w:lang w:val="en-US" w:eastAsia="zh-CN"/>
        </w:rPr>
        <w:t>防护距离控制及居民搬迁</w:t>
      </w:r>
      <w:r>
        <w:rPr>
          <w:rFonts w:hint="default" w:ascii="Times New Roman" w:hAnsi="Times New Roman" w:eastAsia="宋体" w:cs="Times New Roman"/>
          <w:b w:val="0"/>
          <w:bCs/>
          <w:color w:val="auto"/>
          <w:sz w:val="24"/>
          <w:szCs w:val="24"/>
          <w:lang w:eastAsia="zh-CN"/>
        </w:rPr>
        <w:t>。</w:t>
      </w:r>
    </w:p>
    <w:p>
      <w:pPr>
        <w:pStyle w:val="3"/>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eastAsia" w:eastAsia="宋体" w:cs="Times New Roman"/>
          <w:b w:val="0"/>
          <w:bCs/>
          <w:color w:val="auto"/>
          <w:sz w:val="24"/>
          <w:szCs w:val="24"/>
          <w:lang w:val="en-US" w:eastAsia="zh-CN"/>
        </w:rPr>
      </w:pPr>
      <w:r>
        <w:rPr>
          <w:rFonts w:hint="eastAsia" w:eastAsia="宋体" w:cs="Times New Roman"/>
          <w:b w:val="0"/>
          <w:bCs/>
          <w:color w:val="auto"/>
          <w:sz w:val="24"/>
          <w:szCs w:val="24"/>
          <w:lang w:val="en-US" w:eastAsia="zh-CN"/>
        </w:rPr>
        <w:t>2.3其他措施落实情况</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eastAsia="宋体" w:cs="Times New Roman"/>
          <w:b w:val="0"/>
          <w:bCs/>
          <w:color w:val="auto"/>
          <w:sz w:val="24"/>
          <w:szCs w:val="24"/>
          <w:lang w:val="en-US" w:eastAsia="zh-CN"/>
        </w:rPr>
      </w:pPr>
      <w:r>
        <w:rPr>
          <w:rFonts w:hint="eastAsia" w:eastAsia="宋体" w:cs="Times New Roman"/>
          <w:b w:val="0"/>
          <w:bCs/>
          <w:color w:val="auto"/>
          <w:sz w:val="24"/>
          <w:szCs w:val="24"/>
          <w:lang w:val="en-US" w:eastAsia="zh-CN"/>
        </w:rPr>
        <w:t>中国能建池州市贵池区读山湖渔光互补光伏发电项目不涉及林地补偿、珍稀动植物保护、区域环境整治、相关外围工程建设情况等。</w:t>
      </w:r>
    </w:p>
    <w:p>
      <w:pPr>
        <w:pStyle w:val="3"/>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eastAsia" w:eastAsia="宋体" w:cs="Times New Roman"/>
          <w:b/>
          <w:bCs w:val="0"/>
          <w:color w:val="auto"/>
          <w:sz w:val="24"/>
          <w:szCs w:val="24"/>
          <w:lang w:val="en-US" w:eastAsia="zh-CN"/>
        </w:rPr>
      </w:pPr>
      <w:r>
        <w:rPr>
          <w:rFonts w:hint="eastAsia" w:eastAsia="宋体" w:cs="Times New Roman"/>
          <w:b/>
          <w:bCs w:val="0"/>
          <w:color w:val="auto"/>
          <w:sz w:val="24"/>
          <w:szCs w:val="24"/>
          <w:lang w:val="en-US" w:eastAsia="zh-CN"/>
        </w:rPr>
        <w:t>3整改工作情况</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eastAsia="宋体" w:cs="Times New Roman"/>
          <w:b w:val="0"/>
          <w:bCs/>
          <w:color w:val="auto"/>
          <w:sz w:val="24"/>
          <w:szCs w:val="24"/>
          <w:lang w:val="en-US" w:eastAsia="zh-CN"/>
        </w:rPr>
      </w:pPr>
      <w:r>
        <w:rPr>
          <w:rFonts w:hint="eastAsia" w:eastAsia="宋体" w:cs="Times New Roman"/>
          <w:b w:val="0"/>
          <w:bCs/>
          <w:color w:val="auto"/>
          <w:sz w:val="24"/>
          <w:szCs w:val="24"/>
          <w:lang w:val="en-US" w:eastAsia="zh-CN"/>
        </w:rPr>
        <w:t>中国能建池州市贵池区读山湖渔光互补光伏发电项目不涉及整改工作。</w:t>
      </w:r>
    </w:p>
    <w:p>
      <w:bookmarkStart w:id="9" w:name="_GoBack"/>
      <w:bookmarkEnd w:id="9"/>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mNTlhMjFhYTFjNDc1NzEwNmY2ODFmMjgyODNiYTYifQ=="/>
  </w:docVars>
  <w:rsids>
    <w:rsidRoot w:val="00000000"/>
    <w:rsid w:val="0A1A6601"/>
    <w:rsid w:val="0DB41137"/>
    <w:rsid w:val="34D3546F"/>
    <w:rsid w:val="3A0C0537"/>
    <w:rsid w:val="456F1A5B"/>
    <w:rsid w:val="69590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4"/>
    <w:basedOn w:val="1"/>
    <w:next w:val="1"/>
    <w:qFormat/>
    <w:uiPriority w:val="9"/>
    <w:pPr>
      <w:keepNext/>
      <w:keepLines/>
      <w:spacing w:before="280" w:beforeLines="0" w:after="290" w:afterLines="0" w:line="376" w:lineRule="auto"/>
      <w:outlineLvl w:val="3"/>
    </w:pPr>
    <w:rPr>
      <w:rFonts w:ascii="Cambria" w:hAnsi="Cambria"/>
      <w:b/>
      <w:bCs/>
      <w:sz w:val="28"/>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unhideWhenUsed/>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1351</Words>
  <Characters>1383</Characters>
  <Lines>0</Lines>
  <Paragraphs>0</Paragraphs>
  <TotalTime>2</TotalTime>
  <ScaleCrop>false</ScaleCrop>
  <LinksUpToDate>false</LinksUpToDate>
  <CharactersWithSpaces>1384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默守</cp:lastModifiedBy>
  <dcterms:modified xsi:type="dcterms:W3CDTF">2022-11-28T08:11:54Z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2A152BDF998640738D11E4E1670F43F9</vt:lpwstr>
  </property>
</Properties>
</file>